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FE" w:rsidRDefault="00892E6E" w:rsidP="001E0B5E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30</w:t>
      </w:r>
    </w:p>
    <w:p w:rsidR="001E0B5E" w:rsidRPr="001E0B5E" w:rsidRDefault="001E0B5E" w:rsidP="001E0B5E">
      <w:pPr>
        <w:rPr>
          <w:b/>
          <w:bCs/>
          <w:sz w:val="32"/>
          <w:szCs w:val="32"/>
          <w:lang w:val="pl-PL"/>
        </w:rPr>
      </w:pPr>
    </w:p>
    <w:p w:rsidR="009A62FE" w:rsidRPr="000B1E97" w:rsidRDefault="009A62FE" w:rsidP="009A62FE">
      <w:pPr>
        <w:jc w:val="center"/>
        <w:rPr>
          <w:b/>
          <w:bCs/>
          <w:sz w:val="20"/>
          <w:szCs w:val="20"/>
          <w:lang w:val="pl-PL"/>
        </w:rPr>
      </w:pPr>
    </w:p>
    <w:p w:rsidR="009A62FE" w:rsidRPr="000B1E97" w:rsidRDefault="009A62FE" w:rsidP="009A62FE">
      <w:pPr>
        <w:ind w:left="2552" w:hanging="2552"/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Pr="002437FF">
        <w:rPr>
          <w:b/>
          <w:lang w:val="pl-PL" w:eastAsia="ar-SA"/>
        </w:rPr>
        <w:t>Komputerowy system monitorowania obiegu materiału,</w:t>
      </w:r>
      <w:r>
        <w:rPr>
          <w:b/>
          <w:lang w:val="pl-PL" w:eastAsia="ar-SA"/>
        </w:rPr>
        <w:t xml:space="preserve"> </w:t>
      </w:r>
      <w:r w:rsidRPr="002437FF">
        <w:rPr>
          <w:b/>
          <w:lang w:val="pl-PL" w:eastAsia="ar-SA"/>
        </w:rPr>
        <w:t xml:space="preserve">parametrów procesów </w:t>
      </w:r>
      <w:r w:rsidR="008E3977">
        <w:rPr>
          <w:b/>
          <w:lang w:val="pl-PL" w:eastAsia="ar-SA"/>
        </w:rPr>
        <w:t>również</w:t>
      </w:r>
      <w:r w:rsidRPr="002437FF">
        <w:rPr>
          <w:b/>
          <w:lang w:val="pl-PL" w:eastAsia="ar-SA"/>
        </w:rPr>
        <w:t xml:space="preserve"> rejestracji parametrów procesów</w:t>
      </w:r>
      <w:r>
        <w:rPr>
          <w:b/>
          <w:lang w:val="pl-PL" w:eastAsia="ar-SA"/>
        </w:rPr>
        <w:t xml:space="preserve"> </w:t>
      </w:r>
      <w:r w:rsidRPr="002437FF">
        <w:rPr>
          <w:b/>
          <w:lang w:val="pl-PL" w:eastAsia="ar-SA"/>
        </w:rPr>
        <w:t>oraz wyliczania kosztów obróbki wraz z wyposażeniem</w:t>
      </w:r>
      <w:r w:rsidRPr="00DF7C2D">
        <w:rPr>
          <w:b/>
          <w:lang w:val="pl-PL" w:eastAsia="ar-SA"/>
        </w:rPr>
        <w:t xml:space="preserve"> </w:t>
      </w:r>
      <w:r w:rsidRPr="00A15015">
        <w:rPr>
          <w:b/>
          <w:lang w:val="pl-PL" w:eastAsia="ar-SA"/>
        </w:rPr>
        <w:t xml:space="preserve">- </w:t>
      </w:r>
      <w:r>
        <w:rPr>
          <w:b/>
          <w:lang w:val="pl-PL" w:eastAsia="ar-SA"/>
        </w:rPr>
        <w:t>1</w:t>
      </w:r>
      <w:r w:rsidRPr="00A15015">
        <w:rPr>
          <w:b/>
          <w:lang w:val="pl-PL" w:eastAsia="ar-SA"/>
        </w:rPr>
        <w:t xml:space="preserve"> k</w:t>
      </w:r>
      <w:r>
        <w:rPr>
          <w:b/>
          <w:lang w:val="pl-PL" w:eastAsia="ar-SA"/>
        </w:rPr>
        <w:t>pl.</w:t>
      </w:r>
    </w:p>
    <w:p w:rsidR="009A62FE" w:rsidRPr="000B1E97" w:rsidRDefault="009A62FE" w:rsidP="009A62FE">
      <w:pPr>
        <w:ind w:left="2552" w:hanging="2552"/>
        <w:rPr>
          <w:b/>
          <w:szCs w:val="20"/>
          <w:lang w:val="pl-PL"/>
        </w:rPr>
      </w:pPr>
    </w:p>
    <w:p w:rsidR="009A62FE" w:rsidRPr="000B1E97" w:rsidRDefault="009A62FE" w:rsidP="009A62F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9A62FE" w:rsidRPr="000B1E97" w:rsidRDefault="009A62FE" w:rsidP="009A62FE">
      <w:pPr>
        <w:rPr>
          <w:b/>
          <w:szCs w:val="20"/>
          <w:lang w:val="pl-PL"/>
        </w:rPr>
      </w:pPr>
    </w:p>
    <w:p w:rsidR="009A62FE" w:rsidRPr="000B1E97" w:rsidRDefault="009A62FE" w:rsidP="009A62F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9A62FE" w:rsidRPr="000B1E97" w:rsidRDefault="009A62FE" w:rsidP="009A62FE">
      <w:pPr>
        <w:rPr>
          <w:b/>
          <w:szCs w:val="20"/>
          <w:lang w:val="pl-PL"/>
        </w:rPr>
      </w:pPr>
    </w:p>
    <w:p w:rsidR="009A62FE" w:rsidRPr="000B1E97" w:rsidRDefault="009A62FE" w:rsidP="009A62FE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9A62FE" w:rsidRPr="000B1E97" w:rsidRDefault="009A62FE" w:rsidP="009A62FE">
      <w:pPr>
        <w:rPr>
          <w:b/>
          <w:szCs w:val="20"/>
          <w:lang w:val="pl-PL"/>
        </w:rPr>
      </w:pPr>
    </w:p>
    <w:p w:rsidR="009A62FE" w:rsidRPr="00EE55E5" w:rsidRDefault="009A62FE" w:rsidP="009A62FE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9A62FE" w:rsidRPr="000B1E97" w:rsidRDefault="009A62FE" w:rsidP="009A62FE">
      <w:pPr>
        <w:rPr>
          <w:b/>
          <w:szCs w:val="20"/>
          <w:lang w:val="pl-PL"/>
        </w:rPr>
      </w:pPr>
    </w:p>
    <w:p w:rsidR="009A62FE" w:rsidRDefault="009A62FE" w:rsidP="009A62FE">
      <w:pPr>
        <w:rPr>
          <w:b/>
          <w:szCs w:val="20"/>
          <w:lang w:val="pl-PL"/>
        </w:rPr>
      </w:pPr>
    </w:p>
    <w:tbl>
      <w:tblPr>
        <w:tblStyle w:val="Tabela-Siatka"/>
        <w:tblW w:w="15312" w:type="dxa"/>
        <w:tblLayout w:type="fixed"/>
        <w:tblLook w:val="0000"/>
      </w:tblPr>
      <w:tblGrid>
        <w:gridCol w:w="888"/>
        <w:gridCol w:w="6058"/>
        <w:gridCol w:w="1985"/>
        <w:gridCol w:w="2127"/>
        <w:gridCol w:w="2127"/>
        <w:gridCol w:w="2127"/>
      </w:tblGrid>
      <w:tr w:rsidR="009A62FE" w:rsidRPr="000A682E" w:rsidTr="00CD185D">
        <w:trPr>
          <w:trHeight w:val="137"/>
        </w:trPr>
        <w:tc>
          <w:tcPr>
            <w:tcW w:w="889" w:type="dxa"/>
          </w:tcPr>
          <w:p w:rsidR="009A62FE" w:rsidRPr="000A682E" w:rsidRDefault="009A62FE" w:rsidP="007A239C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0A682E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8" w:type="dxa"/>
          </w:tcPr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682E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5" w:type="dxa"/>
          </w:tcPr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682E">
              <w:rPr>
                <w:b/>
                <w:sz w:val="20"/>
                <w:szCs w:val="20"/>
              </w:rPr>
              <w:t>Parametr</w:t>
            </w:r>
            <w:proofErr w:type="spellEnd"/>
            <w:r w:rsidRPr="000A682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0A682E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6" w:type="dxa"/>
          </w:tcPr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682E">
              <w:rPr>
                <w:b/>
                <w:sz w:val="20"/>
                <w:szCs w:val="20"/>
              </w:rPr>
              <w:t>Parametr</w:t>
            </w:r>
            <w:proofErr w:type="spellEnd"/>
            <w:r w:rsidRPr="000A682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A682E">
              <w:rPr>
                <w:b/>
                <w:sz w:val="20"/>
                <w:szCs w:val="20"/>
              </w:rPr>
              <w:t>Potwierdzenie</w:t>
            </w:r>
            <w:proofErr w:type="spellEnd"/>
            <w:r w:rsidRPr="000A682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b/>
                <w:sz w:val="20"/>
                <w:szCs w:val="20"/>
              </w:rPr>
              <w:t>parametru</w:t>
            </w:r>
            <w:proofErr w:type="spellEnd"/>
            <w:r w:rsidRPr="000A682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  <w:r w:rsidRPr="000A682E">
              <w:rPr>
                <w:b/>
                <w:sz w:val="20"/>
                <w:szCs w:val="20"/>
              </w:rPr>
              <w:t>TAK/NIE</w:t>
            </w:r>
          </w:p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9" w:type="dxa"/>
          </w:tcPr>
          <w:p w:rsidR="009A62FE" w:rsidRPr="000A682E" w:rsidRDefault="009A62FE" w:rsidP="007A239C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0A682E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8" w:type="dxa"/>
          </w:tcPr>
          <w:p w:rsidR="009A62FE" w:rsidRPr="000A682E" w:rsidRDefault="009A62FE" w:rsidP="007A239C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0A682E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5" w:type="dxa"/>
          </w:tcPr>
          <w:p w:rsidR="009A62FE" w:rsidRPr="000A682E" w:rsidRDefault="009A62FE" w:rsidP="007A239C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Obserwacja stanu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myjni–dezynfektorów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sterylizatorów parowych i komory dezynfekcyjnej przez bezpośrednie połączenie ze sterownikami urządzeń w czasie rzeczywistym – bez użycia portów drukarkowych.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Monitorowanie pracy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myjni–dezynfektorów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sterylizatorów parowych i komory dezynfekcyjnej w sposób ciągły – wyświetlanie stanu urządzenia, monitorowanie błędów i informacji w trybie czuwania oraz w trakcie pracy.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Rejestracja procesów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myjni–dezynfektorów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, sterylizatorów parowych i komory dezynfekcyjnej oraz archiwizacja tych parametrów na twardym dysku, back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up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w innej bezpiecznej formie.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Rejestracja wszystkich błędów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myjni–dezynfektorów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sterylizatorów parowych i komory dezynfekcyjnej w dedykowanych przez system miejscach, mających wpływ na zatwierdzenie wsadu. System uniemożliwia personelowi bez specjalnych uprawnień zatwierdzenie wsadu z zarejestrowanym błędem.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Dokumentacja przyjęcia materiału do Centralnej Sterylizatorni i Stacji Łóżek, dokumentacja wydania na zewnątrz przy użyciu skanerów kodów kreskowych.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Dokumentacja procesu obróbki materiałów w obrębie Centralnej Sterylizatorni i Stacji Łóżek z przypisaniem wykonywanych czynności do personelu fizycznie go wykonującego, przy użyciu skanerów kodów kreskowych.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Przechowywanie wszystkich informacji o pojedynczych pozycjach, zestawach, materiałach opakowaniowych, personelu, urządzeniach oraz procesach na nich przeprowadzanych w pojedynczej bazie danych na serwerze.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Silnik bazy danych SQL Server 2014 lub wyższy bez ograniczeń wielkości bazy danych.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Zintegrowany program administracyjny zawierający bazę danych procesów wraz z ich danymi i wykresami, przeprowadzanych na urządzeniach, jak również pełną dokumentację dot. obiegu materiałów. Wszystkie informacje dostępne z jednego programu.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/ NIE, podać</w:t>
            </w:r>
          </w:p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– 5 pkt.</w:t>
            </w:r>
          </w:p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eastAsia="ar-SA"/>
              </w:rPr>
              <w:t>NIE – 0 pkt.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bezpośredniej korelacji danych między dokumentacją obróbki materiałów i dokumentacją procesu. Wgląd w parametry przebiegu procesu bezpośrednio z poziomu dokumentacji obróbki konkretnego zestawu, czy narzędzia lub przedmiotu, bez potrzeby zapisywania numeru wsadu i zamykania okna dot. dokumentacji obróbki oraz otwierania okna dot. dokumentacji procesów i wyszukiwania tego wsadu.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/ NIE, podać</w:t>
            </w:r>
          </w:p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– 5 pkt.</w:t>
            </w:r>
          </w:p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eastAsia="ar-SA"/>
              </w:rPr>
              <w:t>NIE – 0 pkt.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automatycznego wyszukiwania wsadów przez system po zdefiniowaniu parametrów takich jak: data i godzina, nazwa maszyny, nazwa programu, status wsadu, numer wsadu.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Kontrolowany dostęp do odpowiednich poziomów kompetencji dla personelu obsługującego system wraz z możliwością logowania do systemu przy użyciu skanera kodów kreskowych.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Identyfikacja pakietów na podstawie nadanego numeru seryjnego.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interaktywnego pakowania zestawu przez użytkownika, przy wykorzystaniu wyświetlanej na ekranie listy pakowania wraz z zdjęciami oraz filmami, weryfikowanie każdego rodzaju pozycji, modyfikowanie składu ilościowego z uwzględnieniem rzeczywistych ilości narzędzi.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graficznej prezentacji i przechowywania wykresów przebiegu procesów przeprowadzanych w myjniach dezynfektorach autoklawach oraz komorach dezynfekcyjnych.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Automatyczna identyfikacja wsadu myjni –dezynfektora, sterylizatora parowego, komory dezynfekcyjnej przy użyciu kodu kreskowego oraz </w:t>
            </w: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jego korelacji z danymi dotyczącymi danego procesu, w którym zestaw czy pojedyncze narzędzie było myte, dezynfekowane oraz sterylizowane.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lastRenderedPageBreak/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Automatyczne tworzenie wsadu i rejestracja danych dla uruchomionego procesu myjni – dezynfektora, sterylizatora parowego, komory dezynfekcyjnej bez inicjowania wsadu w systemie przez personel. Funkcja zapobiegająca utracenia rejestracji danych procesów, które omyłkowo nie zostały zainicjowane w systemie przez personel w szczególności procesy typu np.: rozgrzewający.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/ NIE, podać</w:t>
            </w:r>
          </w:p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– 5 pkt.</w:t>
            </w:r>
          </w:p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eastAsia="ar-SA"/>
              </w:rPr>
              <w:t>NIE – 0 pkt.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tworzenia sprawozdań dotyczących wykorzystania sprzętu (myjnie-dezynfektory, sterylizatory parowe, komora dezynfekcyjna).</w:t>
            </w:r>
          </w:p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Tworzenie bilingu do faktur dla odbiorców zewnętrznych i wewnętrznych szpitala w oparciu o automatycznie wyliczane w systemie kosztów obróbki danych pozycji, uwzględniając koszty mycia, dezynfekcji, pakietowania.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tworzenia zestawień kosztów z podziałem na grupy w zależności od wielkości pakietu.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Drukowanie samoprzylepnych etykiet typu „Sandwich” umożliwiających identyfikację zawartości pakietu, zwrot oraz dołączenie do dokumentacji pacjenta.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Drukowanie spisu zawartości zestawu na drukarkach laserowych.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śledzenia drogi zestawu oraz/lub narzędzia w obrębie Centralnej Sterylizatorni i Stacji Łóżek oraz do pacjenta i z powrotem.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Przedstawianie w postaci zdjęć lub filmów określonych pozycji oraz ułożeń zestawów narzędzi.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zapobiegania wydaniu nie zdezynfekowanych przedmiotów do odbiorcy, oraz wydaniu do niewłaściwego odbiorcy.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Dostęp do obrazów i treści multimedialnych w trakcie interaktywnego pakowania przez użytkownika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modyfikacji i wprowadzania nowych danych dotyczących narzędzi, zestawów, opakowań, odbiorców, niezależnie od czynności wykonywanych na pozostałych stanowiskach komputerowych.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Funkcja tworzenia własnych zapytań/reguł do programów myjni – dezynfektorów, sterylizatorów parowych, komory dezynfekcyjnej w systemie, mających na celu potwierdzenie spełnienia określonych procedur obowiązujących w Centralnej Sterylizatorni i Stacji Łóżek przez pracujący personel, na które odpowiedzi są rejestrowane w systemie.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Obsługa systemu w języku polskim, komunikaty wyświetlane na ekranach systemu w języku polskim.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Możliwość użycia wszystkich polskich znaków diakrytycznych we wprowadzanych nazwach narzędzi, przedmiotów, które wykorzystuje system i są drukowane na etykietach.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color w:val="000000"/>
                <w:kern w:val="0"/>
                <w:sz w:val="20"/>
                <w:szCs w:val="20"/>
                <w:lang w:val="pl-PL" w:eastAsia="ar-SA"/>
              </w:rPr>
            </w:pPr>
            <w:r w:rsidRPr="000A682E">
              <w:rPr>
                <w:color w:val="000000"/>
                <w:kern w:val="0"/>
                <w:sz w:val="20"/>
                <w:szCs w:val="20"/>
                <w:lang w:val="pl-PL"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Wspólny wytwórca oferowanego urządzenia oraz oferowanego systemu komputerowej rejestracji pracy Centralnej Sterylizatorni i Stacji Łóżek. Jako wspólny wytwórca rozumiany jest wytwórca lub grupa wytwórców należąca do jednej grupy kapitałowej, widniejący w certyfikatach urządzenia jako producent</w:t>
            </w: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Zbieranie danych z podłączonych urządzeń na serwerze z możliwością dystrybucji na każdą stację roboczą dostępną w systemie.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/ NIE, podać</w:t>
            </w:r>
          </w:p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 – 5 pkt.</w:t>
            </w:r>
          </w:p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eastAsia="ar-SA"/>
              </w:rPr>
              <w:t>NIE – 0 pkt.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System obsługujący jednocześnie 2 sterylizatory parowe, 2 myjnie – dezynfektory do narzędzi medycznych oraz komorę dezynfekcyjną, myjnię do łóżek, wózków i kontenerów, sterylizator plazmowy, 2 myjnie do endoskopów, 2 sterylizatory gazowe.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Zapewnienie kompatybilności oferowanego systemu ze sterownikami oferowanych urządzeń medycznych: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 Do oferty należy załączyć autoryzację producenta systemu o kompatybilności z oferowanymi: myjniami dezynfektorami, sterylizatorami parowymi, komorą dezynfekcyjną.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- Do oferty należy załączyć autoryzację producentów myjni – dezynfektorów, sterylizatorów parowych i komory dezynfekcyjnej o kompatybilności z oferowanym systemem komputerowym (możliwość bezpośredniego podłączenia sterowników urządzeń do systemu komputerowego wraz z ich monitorowaniem: zdalny podgląd parametrów w czasie rzeczywistym w trakcie trwania procesu oraz podczas stanu oczekiwania urządzenia, rejestrację procesów sterylizatorów parowych, myjni - dezynfektorów i komory dezynfekcyjnej oraz archiwizację tych procesów na zewnętrznym komputerze, możliwość wydruku parametrów, archiwizację oraz statystyki liczby i typów błędów, statystyki pracy urządzeń, podgląd parametrów urządzeń zostanie zapewniony w sposób ciągły tj. interwał odświeżania podglądu danych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. co 1 sekundę). 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TAK</w:t>
            </w:r>
          </w:p>
          <w:p w:rsidR="009A62FE" w:rsidRPr="000A682E" w:rsidRDefault="009A62FE" w:rsidP="007A239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Kopię dokumentu załączyć do oferty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337"/>
        </w:trPr>
        <w:tc>
          <w:tcPr>
            <w:tcW w:w="11058" w:type="dxa"/>
            <w:gridSpan w:val="4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0A682E">
              <w:rPr>
                <w:rFonts w:eastAsia="Arial Unicode MS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centralny - Serwer -1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serwerowy system operacyjny,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monitor LED min. 20’’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zewnętrzne urządzenie i dodatkowe oprogramowanie do wykonywania automatycznej kopii bezpieczeństwa obsługujące napędy taśmowe </w:t>
            </w:r>
            <w:r w:rsidRPr="000A6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oraz napędy dyskowe,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zasilacz podtrzymujący zasilanie min. 2200VA. typu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rack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min. 6 - rdzeniowy, wykonany w technologii x86-64, o wydajności pozwalającej na uzyskanie wyniku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SPECINT_Rates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2006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Base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nie mniejszej niż 480 pkt. (dla oferowanego serwera),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16 GB RAM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Kontroler RAID 0,1,5,10,50 wielkość bufora 1GB,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Dyski twarde: 4 x 146 GB SAS 15k 2,5” Hot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swap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Zasilacz nadmiarowy z funkcją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Hot-Swap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min 2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zalecany przez dostawcę urządzeń.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Obudowa serwera typu RACK. Serwer dostarczyć wraz z kompletem elementów mocujących w szafie.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http://www.cpubenchmark.net/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Monitor: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Kontrast 1000:1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Czas odświeżania 5ms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Interfejsy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DVI-D, Display Port, VGA,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Zużycie energii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30W -  opisać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Zewnętrzne urządzenie do wykonywania kopii bezpieczeństwa: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obsługa RAID min. 0,1,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min. 4 zatoki  na dyski twarde dostępne od zewnątrz,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Komputer administratora strefy czystej – 1 kpl.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z możliwością pracy w domenie,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Monitor LED min. 20”,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 w wykonaniu higienicznym,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Skaner płaski,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Pakiet oprogramowania biurowego zgodny z XML,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UPS podtrzymujący zasilanie min. 600 VA.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 powinien osiągnąć wynik na poziomie min. 4700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http://www.cpubenchmark.net/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 DDR4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8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Monitor: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Kontrast 1000:1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Czas odświeżania 5ms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Interfejsy: DVI-D,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Disp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lay Port, VGA,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Zużycie energii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30W – opisać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Skaner płaski: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Optyczna rozdzielczość skanowania min. 4800 x 9600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Kodowanie koloru 96 bitowe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administratora (kierownik CS) – 1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z możliwością pracy w domenie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Monitor LED min. 20”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UPS podtrzymujący zasilanie min. 600VA,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Pakiet oprogramowania biurowego zgodny z XML,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 powinien osiągnąć wynik na poziomie min. 4700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http://www.cpubenchmark.net/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 DDR4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8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Monitor: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Kontrast 1000:1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Czas odświeżania 5ms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Interfejsy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DVI-D, Display Port, VGA,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Zużycie energii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30W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monitorowania procesów mycia – dezynfekcji, sterylizacji  – 1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z możliwością pracy w domenie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Monitor LED min. 20”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podtrzymujący zasilanie przez min. 600VA.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 powinien osiągnąć wynik na poziomie min. 4700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</w:t>
            </w: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będą one dostępne dla oferowanego procesora na stronie: http://www.cpubenchmark.net/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 DDR4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8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Monitor: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Kontrast 1000:1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Czas odświeżania 5ms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Interfejsy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Interfejsy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DVI-D, Display Port, VGA,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Zużycie energii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30W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- stanowisko robocze – pakietowanie narzędzi, skaner bezprzewodowy – 2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min. 32 bit z możliwością pracy w domenie,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Monitor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multitouch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min. 20” 16:9 (w obudowie komputera –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All-in-one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Ręczny, przenośny, bezprzewodowy bez wyświetlacza skaner kodów kreskowych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UPS podtrzymujący zasilanie min. 600 VA.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 powinien osiągnąć wynik na poziomie min. 4100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</w:t>
            </w:r>
            <w:hyperlink r:id="rId5" w:history="1">
              <w:r w:rsidRPr="000A682E">
                <w:rPr>
                  <w:rFonts w:ascii="Times New Roman" w:hAnsi="Times New Roman" w:cs="Times New Roman"/>
                  <w:i/>
                  <w:sz w:val="20"/>
                  <w:szCs w:val="20"/>
                </w:rPr>
                <w:t>http://www.cpubenchmark.net/</w:t>
              </w:r>
            </w:hyperlink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6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Ekran dotykowy 10 punktowy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wielodotykowy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- stanowisko robocze – pakietowanie narzędzi, skaner przewodowy – 1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min. 32 bit z możliwością pracy w domenie,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Monitor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multitouch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min. 20” 16:9 (w obudowie komputera –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All-in-one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Ręczny, przewodowy skaner kodów kreskowych 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UPS podtrzymujący zasilanie min. 600 VA.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) powinien </w:t>
            </w:r>
            <w:r w:rsidRPr="000A68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osiągnąć wynik na poziomie min. 4100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</w:t>
            </w:r>
            <w:hyperlink r:id="rId6" w:history="1">
              <w:r w:rsidRPr="000A682E">
                <w:rPr>
                  <w:rFonts w:ascii="Times New Roman" w:hAnsi="Times New Roman" w:cs="Times New Roman"/>
                  <w:i/>
                  <w:sz w:val="20"/>
                  <w:szCs w:val="20"/>
                </w:rPr>
                <w:t>http://www.cpubenchmark.net/</w:t>
              </w:r>
            </w:hyperlink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6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Ekran dotykowy 10 punktowy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wielodotykowy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Komputer - stanowisko robocze – przyjmowanie, wydawanie, skaner bezprzewodowy odporny na negatywne czynniki zew. – 5 kpl.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System operacyjny min. 32 bit z możliwością pracy w domenie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Monitor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multitouch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min. 20” 16:9 (w obudowie komputera –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All-in-one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Klawiatura, mysz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Ręczny, laserowy, przenośny, bezprzewodowy z wyświetlaczem LCD skaner kodów kreskowych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Zasilacz UPS podtrzymujący zasilanie min. 600 VA.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Procesor w teście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PassMark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– CPU Mark (High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CPUs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) powinien osiągnąć wynik na poziomie min. 4100 pkt.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Uwaga: Zamawiający nie wymaga przedstawienia wyników testów jeżeli będą one dostępne dla oferowanego procesora na stronie: http://www.cpubenchmark.net/ 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 4GB RAM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(USB) dla urządzeń zewnętrznych min. 6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Dysk twardy: 500 GB 7200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Napęd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DVD-RW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Ekran dotykowy 10 punktowy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wielodotykowy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Drukarka kodów kreskowych – druk odporny na działanie wysokiej temperatury (sterylizacja parowa) oraz ścieranie – 3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Metoda wydruku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termotransferowa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Długość taśmy barwiącej min. 450 m.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Szerokość wydruku 104 mm.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Oprogramowanie zgodne z wymogami systemu komputerowego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Porty: min. RS-232, USB,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Drukarka kodów kreskowych – wydruk odporny na działanie wysokiej temperatury i środków chemicznych (mycie i dezynfekcja) – 1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Szerokość wydruku min. 24 mm.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Wydruk na taśmach laminowanych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Porty RS-232, USB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Szybkość wydruku min. 10 mm/s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lastRenderedPageBreak/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Drukarka laserowa monochromatyczna z dupleksem – 6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Szybkość wydruku do 38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str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/min. mono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Jakość druku do 4800 x 600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Normatywny cykl pracy 80 000 str.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Druk dwustronny automatyczny - dupleks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Szybkość procesora: min.  1200MHz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Pamięć: min. 128 MB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Łączność: HI SPEED USB 2.0, Gigabit LAN RJ45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Certyfikat ENERGY STAR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b/>
                <w:sz w:val="20"/>
                <w:szCs w:val="20"/>
              </w:rPr>
              <w:t>Urządzenie wielofunkcyjne laserowe kolorowe (faks, skaner, drukarka, kopiarka) – 1 szt.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Parametry minimalne: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Szybkość wydruku do 18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str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/min. mono/kolor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Jakość druku w kolorze do 600 x 600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dpi</w:t>
            </w:r>
            <w:proofErr w:type="spellEnd"/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Normatywny cykl pracy 30 000 str.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Rozdzielczość optyczna skanera 1200x1200dpi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Głębia koloru skanera: min. 30 bit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Wyświetlacz dotykowy min.: 3”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Czas pierwszego wydruku mono: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11,5 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 xml:space="preserve">- Czas pierwszego wydruku kolor: </w:t>
            </w:r>
            <w:proofErr w:type="spellStart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. 13 s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Wbudowana pamięć 256MB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Łączność HI SPEED USB 2.0, Gigabit Ethernet</w:t>
            </w:r>
          </w:p>
          <w:p w:rsidR="009A62FE" w:rsidRPr="000A682E" w:rsidRDefault="009A62FE" w:rsidP="007A239C">
            <w:pPr>
              <w:pStyle w:val="Default"/>
              <w:ind w:left="151" w:hanging="151"/>
              <w:rPr>
                <w:rFonts w:ascii="Times New Roman" w:hAnsi="Times New Roman" w:cs="Times New Roman"/>
                <w:sz w:val="20"/>
                <w:szCs w:val="20"/>
              </w:rPr>
            </w:pPr>
            <w:r w:rsidRPr="000A682E">
              <w:rPr>
                <w:rFonts w:ascii="Times New Roman" w:hAnsi="Times New Roman" w:cs="Times New Roman"/>
                <w:sz w:val="20"/>
                <w:szCs w:val="20"/>
              </w:rPr>
              <w:t>- Certyfikat EPA Energy Star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7A239C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0A682E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9A62FE" w:rsidRPr="000A682E" w:rsidRDefault="009A62FE" w:rsidP="007A239C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0A682E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9A62FE" w:rsidRPr="000A682E" w:rsidRDefault="009A62FE" w:rsidP="007A239C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A62FE" w:rsidRPr="000A682E" w:rsidTr="00CD185D">
        <w:trPr>
          <w:trHeight w:val="137"/>
        </w:trPr>
        <w:tc>
          <w:tcPr>
            <w:tcW w:w="888" w:type="dxa"/>
          </w:tcPr>
          <w:p w:rsidR="009A62FE" w:rsidRPr="000A682E" w:rsidRDefault="009A62FE" w:rsidP="009A62F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A62FE" w:rsidRPr="000A682E" w:rsidRDefault="009A62FE" w:rsidP="007A239C">
            <w:pPr>
              <w:rPr>
                <w:sz w:val="20"/>
                <w:szCs w:val="20"/>
                <w:lang w:val="pl-PL"/>
              </w:rPr>
            </w:pPr>
            <w:r w:rsidRPr="000A682E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9A62FE" w:rsidRPr="000A682E" w:rsidRDefault="009A62FE" w:rsidP="007A239C">
            <w:pPr>
              <w:jc w:val="center"/>
              <w:rPr>
                <w:sz w:val="20"/>
                <w:szCs w:val="20"/>
              </w:rPr>
            </w:pPr>
            <w:r w:rsidRPr="000A68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A62FE" w:rsidRPr="000A682E" w:rsidRDefault="009A62FE" w:rsidP="007A239C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9A62FE" w:rsidRPr="000B1E97" w:rsidRDefault="009A62FE" w:rsidP="009A62FE">
      <w:pPr>
        <w:rPr>
          <w:sz w:val="20"/>
          <w:szCs w:val="20"/>
          <w:lang w:val="pl-PL"/>
        </w:rPr>
      </w:pPr>
    </w:p>
    <w:p w:rsidR="009A62FE" w:rsidRPr="00DF7C2D" w:rsidRDefault="009A62FE" w:rsidP="009A62FE">
      <w:pPr>
        <w:rPr>
          <w:sz w:val="22"/>
          <w:szCs w:val="22"/>
          <w:lang w:val="pl-PL"/>
        </w:rPr>
      </w:pPr>
    </w:p>
    <w:p w:rsidR="002A177B" w:rsidRDefault="002A177B"/>
    <w:sectPr w:rsidR="002A177B" w:rsidSect="001E0B5E">
      <w:pgSz w:w="16838" w:h="11906" w:orient="landscape"/>
      <w:pgMar w:top="851" w:right="1276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62FE"/>
    <w:rsid w:val="001E0B5E"/>
    <w:rsid w:val="002A177B"/>
    <w:rsid w:val="00361137"/>
    <w:rsid w:val="00403F25"/>
    <w:rsid w:val="006855C0"/>
    <w:rsid w:val="00742D78"/>
    <w:rsid w:val="00892E6E"/>
    <w:rsid w:val="008C603D"/>
    <w:rsid w:val="008E3977"/>
    <w:rsid w:val="009A62FE"/>
    <w:rsid w:val="00AD4C51"/>
    <w:rsid w:val="00CD185D"/>
    <w:rsid w:val="00D86979"/>
    <w:rsid w:val="00F218A4"/>
    <w:rsid w:val="00FA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62F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A6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1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pubenchmark.net/" TargetMode="External"/><Relationship Id="rId5" Type="http://schemas.openxmlformats.org/officeDocument/2006/relationships/hyperlink" Target="http://www.cpubenchmark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2352</Words>
  <Characters>14118</Characters>
  <Application>Microsoft Office Word</Application>
  <DocSecurity>0</DocSecurity>
  <Lines>117</Lines>
  <Paragraphs>32</Paragraphs>
  <ScaleCrop>false</ScaleCrop>
  <Company>Microsoft</Company>
  <LinksUpToDate>false</LinksUpToDate>
  <CharactersWithSpaces>16438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2017-03-29T11:24:00Z</cp:lastPrinted>
  <dcterms:created xsi:type="dcterms:W3CDTF">2016-12-05T09:46:00Z</dcterms:created>
  <dcterms:modified xsi:type="dcterms:W3CDTF">2017-11-13T16:15:00Z</dcterms:modified>
</cp:coreProperties>
</file>